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Listă de sarcini pentru învăţare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Pentru a crea un mediu de învățare constantă, puteți avea în vedere următoarea listă de acțiuni care să fie luate în considerare în cadrul organizației: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4" w:val="single"/>
          <w:insideV w:color="009787" w:space="0" w:sz="4" w:val="single"/>
        </w:tblBorders>
        <w:tblLayout w:type="fixed"/>
        <w:tblLook w:val="04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comunică importanța învățării în cadrul organizației</w:t>
            </w:r>
          </w:p>
        </w:tc>
      </w:tr>
      <w:tr>
        <w:trPr>
          <w:cantSplit w:val="0"/>
          <w:trHeight w:val="64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transmite că învățarea este o valoare a organizației</w:t>
            </w:r>
          </w:p>
        </w:tc>
      </w:tr>
      <w:tr>
        <w:trPr>
          <w:cantSplit w:val="0"/>
          <w:trHeight w:val="6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este responsabil pentru procesul de învățare și aplică în mod constant învățarea în cadrul organizației, în activități, dar și în administrarea/ gestionarea organizației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are în vedere evaluarea progresului de învăţare al organizației, precum și a personalului/ membrilor/ voluntarilor acesteia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color w:val="ff0000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Management-ul/ executivul oferă oportunități de a aplica învățarea în cadrul organizației pentru personal/ membri/ voluntari (de exemplu, crează așteptarea ca oricine participă la evenimente va face ulterior prezentări pentru ceilalți din echipă cu privire la cele mai importante lecţii preluate de la eveniment)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sunt responsabili pentru rezultatele învățării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Management-ul/ executivul facilitează personalul/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membrii/ voluntarii din organizație să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integreze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 rezultatele oricărui proces de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învățare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 în activitatea lor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utilizează experiența lor pentru a consilia/ îndruma angajaţii/ membrii/ voluntarii noi și mai puțin experimentați cu privire la modalitatea de lucru în cadrul organizației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facilitează orice activitate educațională a personalului/ membrilor/ voluntarilor, nu doar activități legate exclusiv de poziția ocupată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Management-ul/ executivul împreună cu personalul/ membrii/ voluntarii îşi rezervă timp pentru a se documenta, a gândi, a dezbate idei noi şi a le pune în practică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Personalul/ membrii / voluntarii înțeleg importanţa dobândirii de noi competențe care vor ajuta organizația să se dezvolte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Personalul/ membrii/ voluntarii au integrat profund în sistemul lor de credinţe dorința de învățare continuă și sunt dedicaţi acestui proces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Persoanele din organizație aplică învățarea în cadrul tuturor activităților întreprinse și îşi îmbunătățesc în mod continuu performanța atingând obiective strategice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tabs>
                <w:tab w:val="left" w:leader="none" w:pos="2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520"/>
              </w:tabs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u w:val="none"/>
                <w:rtl w:val="0"/>
              </w:rPr>
              <w:t xml:space="preserve">Organizația oferă o gamă largă de abordări formale și mai puțin formale pentru a facilita învățarea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2022 -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A6237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1F44C8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 w:customStyle="1">
    <w:name w:val="Table Grid1"/>
    <w:basedOn w:val="TableNormal"/>
    <w:next w:val="TableGrid"/>
    <w:uiPriority w:val="59"/>
    <w:rsid w:val="0062741D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A" w:customStyle="1">
    <w:name w:val="Corp A"/>
    <w:rsid w:val="0035146C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Calibri" w:cs="Calibri" w:eastAsia="Calibri" w:hAnsi="Calibri"/>
      <w:color w:val="000000"/>
      <w:u w:color="000000"/>
      <w:bdr w:space="0" w:sz="0" w:val="nil"/>
      <w:lang w:eastAsia="ro-RO" w:val="en-US"/>
    </w:rPr>
  </w:style>
  <w:style w:type="paragraph" w:styleId="Implicit" w:customStyle="1">
    <w:name w:val="Implicit"/>
    <w:rsid w:val="00C5349C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Helvetica" w:cs="Helvetica" w:eastAsia="Helvetica" w:hAnsi="Helvetica"/>
      <w:color w:val="000000"/>
      <w:u w:color="000000"/>
      <w:bdr w:space="0" w:sz="0" w:val="nil"/>
      <w:lang w:eastAsia="ro-RO" w:val="en-US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 w:val="1"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B3D37"/>
  </w:style>
  <w:style w:type="table" w:styleId="TableGrid11" w:customStyle="1">
    <w:name w:val="Table Grid11"/>
    <w:basedOn w:val="TableNormal"/>
    <w:next w:val="TableGrid"/>
    <w:uiPriority w:val="59"/>
    <w:rsid w:val="004510E8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ntetisubsolA" w:customStyle="1">
    <w:name w:val="Antet și subsol A"/>
    <w:rsid w:val="00822380"/>
    <w:pPr>
      <w:tabs>
        <w:tab w:val="right" w:pos="9020"/>
      </w:tabs>
      <w:spacing w:after="0" w:line="240" w:lineRule="auto"/>
    </w:pPr>
    <w:rPr>
      <w:rFonts w:ascii="Helvetica" w:cs="Arial Unicode MS" w:eastAsia="Arial Unicode MS" w:hAnsi="Arial Unicode MS"/>
      <w:color w:val="000000"/>
      <w:sz w:val="24"/>
      <w:szCs w:val="24"/>
      <w:u w:color="000000"/>
      <w:lang w:eastAsia="ro-RO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Q18dmEE182wOZXMwaZZSdy9y75A==">AMUW2mX+UVGSP7l9dvG2oaogfmCrAAWWG8V14ALyNbo+FjaWyCfZjRVUVLGir6quEMu7PkzbfuHc12nJg0/Li74CmnDMaYapOMw1LpBfzxnOrZTf5zIS75E=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2018-04-15T19:21:00Z</dcterms:created>
  <dc:creator>Vlad Dumitrescu</dc:creator>
</cp:coreProperties>
</file>